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5ACBC921" w:rsidR="002A090F" w:rsidRPr="004658A5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272A32">
        <w:rPr>
          <w:b/>
          <w:sz w:val="24"/>
          <w:szCs w:val="24"/>
        </w:rPr>
        <w:t>LOW EMISSION DISCOUNT</w:t>
      </w:r>
      <w:r w:rsidR="0003071B">
        <w:rPr>
          <w:b/>
          <w:sz w:val="24"/>
          <w:szCs w:val="24"/>
        </w:rPr>
        <w:t xml:space="preserve"> </w:t>
      </w:r>
      <w:r w:rsidR="00E25CF6">
        <w:rPr>
          <w:b/>
          <w:sz w:val="24"/>
          <w:szCs w:val="24"/>
        </w:rPr>
        <w:t xml:space="preserve">THRESHOLD </w:t>
      </w:r>
      <w:r w:rsidR="000A46BF" w:rsidRPr="004658A5">
        <w:rPr>
          <w:b/>
          <w:sz w:val="24"/>
          <w:szCs w:val="24"/>
        </w:rPr>
        <w:t>VA</w:t>
      </w:r>
      <w:r w:rsidR="00B31E19" w:rsidRPr="004658A5">
        <w:rPr>
          <w:b/>
          <w:sz w:val="24"/>
          <w:szCs w:val="24"/>
        </w:rPr>
        <w:t xml:space="preserve">RIATION) </w:t>
      </w:r>
      <w:r w:rsidR="005A20A4" w:rsidRPr="004658A5">
        <w:rPr>
          <w:b/>
          <w:sz w:val="24"/>
          <w:szCs w:val="24"/>
        </w:rPr>
        <w:t>ORDER 20</w:t>
      </w:r>
      <w:r w:rsidR="000F4EEE">
        <w:rPr>
          <w:b/>
          <w:sz w:val="24"/>
          <w:szCs w:val="24"/>
        </w:rPr>
        <w:t>2</w:t>
      </w:r>
      <w:r w:rsidR="008A05E7">
        <w:rPr>
          <w:b/>
          <w:sz w:val="24"/>
          <w:szCs w:val="24"/>
        </w:rPr>
        <w:t>x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6DDABE65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</w:t>
      </w:r>
      <w:r w:rsidR="00E657D5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F85C0A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272A32">
        <w:rPr>
          <w:sz w:val="24"/>
          <w:szCs w:val="24"/>
        </w:rPr>
        <w:t>Low Emission Discount</w:t>
      </w:r>
      <w:r w:rsidR="0003071B">
        <w:rPr>
          <w:sz w:val="24"/>
          <w:szCs w:val="24"/>
        </w:rPr>
        <w:t xml:space="preserve"> </w:t>
      </w:r>
      <w:r w:rsidR="00E25CF6">
        <w:rPr>
          <w:sz w:val="24"/>
          <w:szCs w:val="24"/>
        </w:rPr>
        <w:t xml:space="preserve">Threshold </w:t>
      </w:r>
      <w:r>
        <w:rPr>
          <w:sz w:val="24"/>
          <w:szCs w:val="24"/>
        </w:rPr>
        <w:t>Variation) Order 20</w:t>
      </w:r>
      <w:r w:rsidR="00F85C0A">
        <w:rPr>
          <w:sz w:val="24"/>
          <w:szCs w:val="24"/>
        </w:rPr>
        <w:t>2</w:t>
      </w:r>
      <w:r w:rsidR="008A05E7">
        <w:rPr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5A71494B" w14:textId="013A5E67" w:rsidR="007837D2" w:rsidRPr="00DE383A" w:rsidRDefault="00C254D5" w:rsidP="00DE383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>Parking Places)</w:t>
      </w:r>
      <w:r w:rsidR="00F85C0A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varied </w:t>
      </w:r>
      <w:r w:rsidR="007837D2">
        <w:rPr>
          <w:sz w:val="24"/>
          <w:szCs w:val="24"/>
        </w:rPr>
        <w:t>by</w:t>
      </w:r>
      <w:r w:rsidR="0070455F">
        <w:rPr>
          <w:sz w:val="24"/>
          <w:szCs w:val="24"/>
        </w:rPr>
        <w:t xml:space="preserve"> </w:t>
      </w:r>
      <w:r w:rsidR="007837D2" w:rsidRPr="00DE383A">
        <w:rPr>
          <w:sz w:val="24"/>
          <w:szCs w:val="24"/>
        </w:rPr>
        <w:t xml:space="preserve">the deletion of the wording of the existing Article 4 definition of </w:t>
      </w:r>
      <w:r w:rsidR="007837D2" w:rsidRPr="00DE383A">
        <w:rPr>
          <w:rFonts w:cs="Arial"/>
          <w:sz w:val="24"/>
          <w:szCs w:val="24"/>
        </w:rPr>
        <w:t>“Low Emissions Discount Criteria”</w:t>
      </w:r>
      <w:r w:rsidR="007837D2" w:rsidRPr="00DE383A">
        <w:rPr>
          <w:sz w:val="24"/>
          <w:szCs w:val="24"/>
        </w:rPr>
        <w:t xml:space="preserve"> </w:t>
      </w:r>
      <w:r w:rsidR="00057E12" w:rsidRPr="00DE383A">
        <w:rPr>
          <w:sz w:val="24"/>
          <w:szCs w:val="24"/>
        </w:rPr>
        <w:t>in</w:t>
      </w:r>
      <w:r w:rsidR="007837D2" w:rsidRPr="00DE383A">
        <w:rPr>
          <w:sz w:val="24"/>
          <w:szCs w:val="24"/>
        </w:rPr>
        <w:t xml:space="preserve"> the 2009 Order and </w:t>
      </w:r>
      <w:r w:rsidR="00057E12" w:rsidRPr="00DE383A">
        <w:rPr>
          <w:sz w:val="24"/>
          <w:szCs w:val="24"/>
        </w:rPr>
        <w:t>its</w:t>
      </w:r>
      <w:r w:rsidR="007837D2" w:rsidRPr="00DE383A">
        <w:rPr>
          <w:sz w:val="24"/>
          <w:szCs w:val="24"/>
        </w:rPr>
        <w:t xml:space="preserve"> replacement with the following wording:</w:t>
      </w:r>
    </w:p>
    <w:p w14:paraId="00386ADD" w14:textId="77777777" w:rsidR="007837D2" w:rsidRPr="00057E12" w:rsidRDefault="007837D2" w:rsidP="007837D2">
      <w:pPr>
        <w:pStyle w:val="ListParagraph"/>
        <w:ind w:left="1080"/>
        <w:jc w:val="left"/>
        <w:rPr>
          <w:sz w:val="24"/>
          <w:szCs w:val="24"/>
        </w:rPr>
      </w:pPr>
    </w:p>
    <w:tbl>
      <w:tblPr>
        <w:tblW w:w="9214" w:type="dxa"/>
        <w:tblInd w:w="817" w:type="dxa"/>
        <w:tblLook w:val="01E0" w:firstRow="1" w:lastRow="1" w:firstColumn="1" w:lastColumn="1" w:noHBand="0" w:noVBand="0"/>
      </w:tblPr>
      <w:tblGrid>
        <w:gridCol w:w="3141"/>
        <w:gridCol w:w="6073"/>
      </w:tblGrid>
      <w:tr w:rsidR="00057E12" w:rsidRPr="00057E12" w14:paraId="7CE93422" w14:textId="77777777" w:rsidTr="00A61FEA">
        <w:tc>
          <w:tcPr>
            <w:tcW w:w="3141" w:type="dxa"/>
          </w:tcPr>
          <w:p w14:paraId="307CE90A" w14:textId="1DF0A52C" w:rsidR="00057E12" w:rsidRPr="00057E12" w:rsidRDefault="007837D2" w:rsidP="00057E12">
            <w:pPr>
              <w:jc w:val="left"/>
              <w:rPr>
                <w:b/>
                <w:sz w:val="24"/>
                <w:szCs w:val="24"/>
              </w:rPr>
            </w:pPr>
            <w:r w:rsidRPr="00057E12">
              <w:rPr>
                <w:b/>
                <w:sz w:val="24"/>
                <w:szCs w:val="24"/>
              </w:rPr>
              <w:t>Low</w:t>
            </w:r>
            <w:r w:rsidR="00057E12" w:rsidRPr="00057E12">
              <w:rPr>
                <w:b/>
                <w:sz w:val="24"/>
                <w:szCs w:val="24"/>
              </w:rPr>
              <w:t xml:space="preserve"> </w:t>
            </w:r>
            <w:r w:rsidRPr="00057E12">
              <w:rPr>
                <w:b/>
                <w:sz w:val="24"/>
                <w:szCs w:val="24"/>
              </w:rPr>
              <w:t>Emissions</w:t>
            </w:r>
            <w:r w:rsidR="00057E12" w:rsidRPr="00057E12">
              <w:rPr>
                <w:b/>
                <w:sz w:val="24"/>
                <w:szCs w:val="24"/>
              </w:rPr>
              <w:t xml:space="preserve">        </w:t>
            </w:r>
          </w:p>
          <w:p w14:paraId="50CAE40F" w14:textId="6CABCEA4" w:rsidR="007837D2" w:rsidRPr="00057E12" w:rsidRDefault="007837D2" w:rsidP="00057E12">
            <w:pPr>
              <w:jc w:val="left"/>
              <w:rPr>
                <w:b/>
                <w:sz w:val="24"/>
                <w:szCs w:val="24"/>
              </w:rPr>
            </w:pPr>
            <w:r w:rsidRPr="00057E12">
              <w:rPr>
                <w:b/>
                <w:sz w:val="24"/>
                <w:szCs w:val="24"/>
              </w:rPr>
              <w:t>Discount Criteria</w:t>
            </w:r>
          </w:p>
        </w:tc>
        <w:tc>
          <w:tcPr>
            <w:tcW w:w="6073" w:type="dxa"/>
          </w:tcPr>
          <w:p w14:paraId="26288E56" w14:textId="0A171F47" w:rsidR="007837D2" w:rsidRPr="00057E12" w:rsidRDefault="007837D2" w:rsidP="00057E12">
            <w:pPr>
              <w:spacing w:after="120"/>
              <w:jc w:val="left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The Low Emissions Discount Criteria are that the vehicle</w:t>
            </w:r>
            <w:r w:rsidR="00057E12" w:rsidRPr="00057E12">
              <w:rPr>
                <w:sz w:val="24"/>
                <w:szCs w:val="24"/>
              </w:rPr>
              <w:t xml:space="preserve"> i</w:t>
            </w:r>
            <w:r w:rsidRPr="00057E12">
              <w:rPr>
                <w:sz w:val="24"/>
                <w:szCs w:val="24"/>
              </w:rPr>
              <w:t>s a Light Passenger Vehicle</w:t>
            </w:r>
            <w:r w:rsidR="00057E12" w:rsidRPr="00057E12">
              <w:rPr>
                <w:sz w:val="24"/>
                <w:szCs w:val="24"/>
              </w:rPr>
              <w:t xml:space="preserve"> </w:t>
            </w:r>
            <w:r w:rsidR="00057E12" w:rsidRPr="00057E12">
              <w:rPr>
                <w:rFonts w:cs="Arial"/>
                <w:sz w:val="24"/>
                <w:szCs w:val="24"/>
              </w:rPr>
              <w:t xml:space="preserve">with an applicable </w:t>
            </w:r>
            <w:r w:rsidR="00057E12" w:rsidRPr="005353AE">
              <w:rPr>
                <w:sz w:val="24"/>
                <w:szCs w:val="24"/>
              </w:rPr>
              <w:t>CO</w:t>
            </w:r>
            <w:r w:rsidR="00057E12" w:rsidRPr="005353AE">
              <w:rPr>
                <w:sz w:val="24"/>
                <w:szCs w:val="24"/>
                <w:vertAlign w:val="superscript"/>
              </w:rPr>
              <w:t>2</w:t>
            </w:r>
            <w:r w:rsidR="00057E12" w:rsidRPr="005353AE">
              <w:rPr>
                <w:sz w:val="24"/>
                <w:szCs w:val="24"/>
              </w:rPr>
              <w:t xml:space="preserve"> </w:t>
            </w:r>
            <w:r w:rsidR="00057E12" w:rsidRPr="00057E12">
              <w:rPr>
                <w:rFonts w:cs="Arial"/>
                <w:sz w:val="24"/>
                <w:szCs w:val="24"/>
              </w:rPr>
              <w:t xml:space="preserve">emissions figure of 75g/km of </w:t>
            </w:r>
            <w:r w:rsidR="00057E12" w:rsidRPr="005353AE">
              <w:rPr>
                <w:sz w:val="24"/>
                <w:szCs w:val="24"/>
              </w:rPr>
              <w:t>CO</w:t>
            </w:r>
            <w:r w:rsidR="00057E12" w:rsidRPr="005353AE">
              <w:rPr>
                <w:sz w:val="24"/>
                <w:szCs w:val="24"/>
                <w:vertAlign w:val="superscript"/>
              </w:rPr>
              <w:t>2</w:t>
            </w:r>
            <w:r w:rsidR="00057E12" w:rsidRPr="005353AE">
              <w:rPr>
                <w:sz w:val="24"/>
                <w:szCs w:val="24"/>
              </w:rPr>
              <w:t xml:space="preserve"> </w:t>
            </w:r>
            <w:r w:rsidR="00057E12" w:rsidRPr="00057E12">
              <w:rPr>
                <w:rFonts w:cs="Arial"/>
                <w:sz w:val="24"/>
                <w:szCs w:val="24"/>
              </w:rPr>
              <w:t>or lower</w:t>
            </w:r>
            <w:r w:rsidR="002C3016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264A9C2F" w14:textId="203E892C" w:rsidR="0070455F" w:rsidRPr="00057E12" w:rsidRDefault="0070455F" w:rsidP="00057E12">
      <w:pPr>
        <w:jc w:val="left"/>
        <w:rPr>
          <w:sz w:val="24"/>
          <w:szCs w:val="24"/>
        </w:rPr>
      </w:pPr>
    </w:p>
    <w:p w14:paraId="16D65EBB" w14:textId="0BCBB92E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</w:t>
      </w:r>
      <w:r w:rsidR="00EE046E">
        <w:rPr>
          <w:sz w:val="24"/>
          <w:szCs w:val="24"/>
        </w:rPr>
        <w:t>.</w:t>
      </w:r>
    </w:p>
    <w:p w14:paraId="38FCF032" w14:textId="4CA35EBA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xxxxxxxxxxxx 20</w:t>
      </w:r>
      <w:r w:rsidR="006B7B15">
        <w:rPr>
          <w:sz w:val="24"/>
          <w:szCs w:val="24"/>
        </w:rPr>
        <w:t>2</w:t>
      </w:r>
      <w:r w:rsidR="008A05E7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City">
        <w:smartTag w:uri="urn:schemas-microsoft-com:office:smarttags" w:element="place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11DA0B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44969BB7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167484CF" w14:textId="51E7CC54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54FEC881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4B2E7FC0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79500851" w14:textId="7E979702" w:rsidR="002A090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18891593" w14:textId="5E0D66F7" w:rsidR="00E816A8" w:rsidRDefault="00E816A8">
      <w:pPr>
        <w:tabs>
          <w:tab w:val="left" w:pos="4536"/>
        </w:tabs>
        <w:rPr>
          <w:sz w:val="24"/>
          <w:szCs w:val="24"/>
        </w:rPr>
      </w:pPr>
    </w:p>
    <w:p w14:paraId="091DAE8D" w14:textId="77777777" w:rsidR="00E816A8" w:rsidRPr="00E816A8" w:rsidRDefault="00E816A8" w:rsidP="00E816A8">
      <w:pPr>
        <w:tabs>
          <w:tab w:val="left" w:pos="4536"/>
        </w:tabs>
        <w:rPr>
          <w:sz w:val="24"/>
          <w:szCs w:val="24"/>
        </w:rPr>
      </w:pPr>
    </w:p>
    <w:sectPr w:rsidR="00E816A8" w:rsidRPr="00E816A8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19A3DF4"/>
    <w:multiLevelType w:val="hybridMultilevel"/>
    <w:tmpl w:val="BBD2F314"/>
    <w:lvl w:ilvl="0" w:tplc="D87489F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916342"/>
    <w:multiLevelType w:val="hybridMultilevel"/>
    <w:tmpl w:val="07DCFE9C"/>
    <w:lvl w:ilvl="0" w:tplc="33A21C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BD10D28"/>
    <w:multiLevelType w:val="hybridMultilevel"/>
    <w:tmpl w:val="4626B68C"/>
    <w:lvl w:ilvl="0" w:tplc="1F72B0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35179390">
    <w:abstractNumId w:val="2"/>
  </w:num>
  <w:num w:numId="2" w16cid:durableId="184558470">
    <w:abstractNumId w:val="14"/>
  </w:num>
  <w:num w:numId="3" w16cid:durableId="607855280">
    <w:abstractNumId w:val="11"/>
  </w:num>
  <w:num w:numId="4" w16cid:durableId="393234277">
    <w:abstractNumId w:val="0"/>
  </w:num>
  <w:num w:numId="5" w16cid:durableId="1437167722">
    <w:abstractNumId w:val="4"/>
  </w:num>
  <w:num w:numId="6" w16cid:durableId="952663799">
    <w:abstractNumId w:val="15"/>
  </w:num>
  <w:num w:numId="7" w16cid:durableId="231432730">
    <w:abstractNumId w:val="6"/>
  </w:num>
  <w:num w:numId="8" w16cid:durableId="1796945369">
    <w:abstractNumId w:val="3"/>
  </w:num>
  <w:num w:numId="9" w16cid:durableId="771321821">
    <w:abstractNumId w:val="8"/>
  </w:num>
  <w:num w:numId="10" w16cid:durableId="571619366">
    <w:abstractNumId w:val="12"/>
  </w:num>
  <w:num w:numId="11" w16cid:durableId="456026815">
    <w:abstractNumId w:val="16"/>
  </w:num>
  <w:num w:numId="12" w16cid:durableId="1034189814">
    <w:abstractNumId w:val="1"/>
  </w:num>
  <w:num w:numId="13" w16cid:durableId="1214149678">
    <w:abstractNumId w:val="5"/>
  </w:num>
  <w:num w:numId="14" w16cid:durableId="1889762950">
    <w:abstractNumId w:val="9"/>
  </w:num>
  <w:num w:numId="15" w16cid:durableId="2116902876">
    <w:abstractNumId w:val="10"/>
  </w:num>
  <w:num w:numId="16" w16cid:durableId="823201873">
    <w:abstractNumId w:val="7"/>
  </w:num>
  <w:num w:numId="17" w16cid:durableId="21417212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2F"/>
    <w:rsid w:val="00004DDE"/>
    <w:rsid w:val="0001381A"/>
    <w:rsid w:val="00026A90"/>
    <w:rsid w:val="0003071B"/>
    <w:rsid w:val="00041BF3"/>
    <w:rsid w:val="00055C4B"/>
    <w:rsid w:val="00057E12"/>
    <w:rsid w:val="00080274"/>
    <w:rsid w:val="00085B92"/>
    <w:rsid w:val="000A46BF"/>
    <w:rsid w:val="000A69F0"/>
    <w:rsid w:val="000F4EEE"/>
    <w:rsid w:val="000F7610"/>
    <w:rsid w:val="00100304"/>
    <w:rsid w:val="0014060F"/>
    <w:rsid w:val="00150CCD"/>
    <w:rsid w:val="00160B92"/>
    <w:rsid w:val="00161972"/>
    <w:rsid w:val="00183C1D"/>
    <w:rsid w:val="001973DE"/>
    <w:rsid w:val="001C05CF"/>
    <w:rsid w:val="001C3749"/>
    <w:rsid w:val="001D2437"/>
    <w:rsid w:val="001E6A22"/>
    <w:rsid w:val="0025792F"/>
    <w:rsid w:val="0026227F"/>
    <w:rsid w:val="00272A32"/>
    <w:rsid w:val="002A090F"/>
    <w:rsid w:val="002B69BE"/>
    <w:rsid w:val="002C1C6E"/>
    <w:rsid w:val="002C3016"/>
    <w:rsid w:val="0033330A"/>
    <w:rsid w:val="00352C77"/>
    <w:rsid w:val="0036776D"/>
    <w:rsid w:val="003707BF"/>
    <w:rsid w:val="0039130E"/>
    <w:rsid w:val="00394AC9"/>
    <w:rsid w:val="003B73D8"/>
    <w:rsid w:val="003D155C"/>
    <w:rsid w:val="003D58D8"/>
    <w:rsid w:val="003E04F8"/>
    <w:rsid w:val="003E7AAC"/>
    <w:rsid w:val="00400A99"/>
    <w:rsid w:val="004125D4"/>
    <w:rsid w:val="0042400E"/>
    <w:rsid w:val="0043533D"/>
    <w:rsid w:val="0043552E"/>
    <w:rsid w:val="00450C49"/>
    <w:rsid w:val="00457C87"/>
    <w:rsid w:val="00462E58"/>
    <w:rsid w:val="004653F3"/>
    <w:rsid w:val="004658A5"/>
    <w:rsid w:val="00486832"/>
    <w:rsid w:val="004E6608"/>
    <w:rsid w:val="00501213"/>
    <w:rsid w:val="00540105"/>
    <w:rsid w:val="00545946"/>
    <w:rsid w:val="00552DC3"/>
    <w:rsid w:val="00553671"/>
    <w:rsid w:val="005807FC"/>
    <w:rsid w:val="005927F3"/>
    <w:rsid w:val="005A20A4"/>
    <w:rsid w:val="005B0E6F"/>
    <w:rsid w:val="005C08CC"/>
    <w:rsid w:val="005E596A"/>
    <w:rsid w:val="005F40C6"/>
    <w:rsid w:val="005F5CA6"/>
    <w:rsid w:val="005F7167"/>
    <w:rsid w:val="006052B2"/>
    <w:rsid w:val="00641511"/>
    <w:rsid w:val="006479FD"/>
    <w:rsid w:val="00651B6F"/>
    <w:rsid w:val="006711EE"/>
    <w:rsid w:val="0067640F"/>
    <w:rsid w:val="006B7B15"/>
    <w:rsid w:val="006C4727"/>
    <w:rsid w:val="006D5FA6"/>
    <w:rsid w:val="006F53B3"/>
    <w:rsid w:val="00700E4E"/>
    <w:rsid w:val="007034E7"/>
    <w:rsid w:val="0070455F"/>
    <w:rsid w:val="00705FB2"/>
    <w:rsid w:val="00717AC2"/>
    <w:rsid w:val="007317B8"/>
    <w:rsid w:val="007604BC"/>
    <w:rsid w:val="007837D2"/>
    <w:rsid w:val="007B4E8A"/>
    <w:rsid w:val="007D5DEA"/>
    <w:rsid w:val="007F31B4"/>
    <w:rsid w:val="00802516"/>
    <w:rsid w:val="00812321"/>
    <w:rsid w:val="00812B27"/>
    <w:rsid w:val="00840063"/>
    <w:rsid w:val="0084172A"/>
    <w:rsid w:val="00842A8D"/>
    <w:rsid w:val="00864E8F"/>
    <w:rsid w:val="008A05E7"/>
    <w:rsid w:val="008A369A"/>
    <w:rsid w:val="008A5B39"/>
    <w:rsid w:val="008B0C99"/>
    <w:rsid w:val="008E21D5"/>
    <w:rsid w:val="008E6F73"/>
    <w:rsid w:val="008F523A"/>
    <w:rsid w:val="00900DE4"/>
    <w:rsid w:val="00903760"/>
    <w:rsid w:val="00917898"/>
    <w:rsid w:val="00956876"/>
    <w:rsid w:val="00965CA1"/>
    <w:rsid w:val="00981B8A"/>
    <w:rsid w:val="009A6486"/>
    <w:rsid w:val="009A7B2F"/>
    <w:rsid w:val="009B4ADB"/>
    <w:rsid w:val="009F54BD"/>
    <w:rsid w:val="00A128AD"/>
    <w:rsid w:val="00A34195"/>
    <w:rsid w:val="00A379C4"/>
    <w:rsid w:val="00A566F3"/>
    <w:rsid w:val="00A870E2"/>
    <w:rsid w:val="00A877FA"/>
    <w:rsid w:val="00A9483B"/>
    <w:rsid w:val="00A9702F"/>
    <w:rsid w:val="00AD612A"/>
    <w:rsid w:val="00AE3E6D"/>
    <w:rsid w:val="00B10732"/>
    <w:rsid w:val="00B15D9C"/>
    <w:rsid w:val="00B31E19"/>
    <w:rsid w:val="00B52EE5"/>
    <w:rsid w:val="00BA7826"/>
    <w:rsid w:val="00BC31B9"/>
    <w:rsid w:val="00BD3CC3"/>
    <w:rsid w:val="00BE5E2B"/>
    <w:rsid w:val="00BE6674"/>
    <w:rsid w:val="00BF67ED"/>
    <w:rsid w:val="00C004ED"/>
    <w:rsid w:val="00C254D5"/>
    <w:rsid w:val="00C5507A"/>
    <w:rsid w:val="00C76803"/>
    <w:rsid w:val="00C932E1"/>
    <w:rsid w:val="00C93855"/>
    <w:rsid w:val="00CC6CA4"/>
    <w:rsid w:val="00CD74CC"/>
    <w:rsid w:val="00CD7899"/>
    <w:rsid w:val="00D06B37"/>
    <w:rsid w:val="00D20D44"/>
    <w:rsid w:val="00D32E5A"/>
    <w:rsid w:val="00D50AA7"/>
    <w:rsid w:val="00D56784"/>
    <w:rsid w:val="00D606E0"/>
    <w:rsid w:val="00D65EA1"/>
    <w:rsid w:val="00D93F22"/>
    <w:rsid w:val="00DC550A"/>
    <w:rsid w:val="00DE1D5F"/>
    <w:rsid w:val="00DE383A"/>
    <w:rsid w:val="00DF5437"/>
    <w:rsid w:val="00E07395"/>
    <w:rsid w:val="00E25CF6"/>
    <w:rsid w:val="00E34757"/>
    <w:rsid w:val="00E3597A"/>
    <w:rsid w:val="00E55BBF"/>
    <w:rsid w:val="00E5669E"/>
    <w:rsid w:val="00E657D5"/>
    <w:rsid w:val="00E816A8"/>
    <w:rsid w:val="00E83AD0"/>
    <w:rsid w:val="00E92B9B"/>
    <w:rsid w:val="00EA335D"/>
    <w:rsid w:val="00EA5978"/>
    <w:rsid w:val="00EB3C57"/>
    <w:rsid w:val="00EB52C6"/>
    <w:rsid w:val="00EC2A6A"/>
    <w:rsid w:val="00EE046E"/>
    <w:rsid w:val="00EE19A3"/>
    <w:rsid w:val="00EE6C16"/>
    <w:rsid w:val="00F02E0F"/>
    <w:rsid w:val="00F10BAC"/>
    <w:rsid w:val="00F42515"/>
    <w:rsid w:val="00F6180E"/>
    <w:rsid w:val="00F61E26"/>
    <w:rsid w:val="00F85C0A"/>
    <w:rsid w:val="00F9746E"/>
    <w:rsid w:val="00FA4D4F"/>
    <w:rsid w:val="00FB6E5E"/>
    <w:rsid w:val="00FE1FA9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CD7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160B92"/>
    <w:pPr>
      <w:spacing w:before="240"/>
      <w:jc w:val="left"/>
    </w:pPr>
    <w:rPr>
      <w:u w:val="single"/>
      <w:lang w:val="en-AU"/>
    </w:rPr>
  </w:style>
  <w:style w:type="character" w:styleId="Mention">
    <w:name w:val="Mention"/>
    <w:basedOn w:val="DefaultParagraphFont"/>
    <w:uiPriority w:val="99"/>
    <w:unhideWhenUsed/>
    <w:rsid w:val="007837D2"/>
    <w:rPr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7837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15</cp:revision>
  <cp:lastPrinted>2019-08-12T09:17:00Z</cp:lastPrinted>
  <dcterms:created xsi:type="dcterms:W3CDTF">2020-04-02T10:34:00Z</dcterms:created>
  <dcterms:modified xsi:type="dcterms:W3CDTF">2024-03-08T09:51:00Z</dcterms:modified>
</cp:coreProperties>
</file>